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https://drive.google.com/drive/u/0/folders/1W34LoyMG_MmP67hesvNXxGx9D64qvSGx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 réaction de rejet lors de la découverte de son EXCELLENCE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 faut savoir que lorsque l’on nous fait découvrir notre EXCELLENCE, on nous attribue un nouveau schéma narratif.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 faut s’imaginer comme un corps qui vient de l’extérieur.</w:t>
        <w:br w:type="textWrapping"/>
        <w:t xml:space="preserve">2 réactions : </w:t>
        <w:br w:type="textWrapping"/>
        <w:t xml:space="preserve">Sauf qu’en réalité : ce n’est pas un corps étranger, mais le corps peut le considérer comme étant étranger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Tout d’abord, il faut savoir que lorsque l’on nous fait découvrir notre EXCELLENCE, on nous attribue un nouveau schéma narratif.</w:t>
        <w:br w:type="textWrapping"/>
        <w:t xml:space="preserve">C’est vraiment comme ci on nous attribuait une toute nouvelle identité.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PWeHTCO8GrFKvXLt7+zmea9Ww==">CgMxLjA4AHIhMUcweU9iZWtmSG5fS3cxQkgxTkZIRFFWLTU2d0lXaVpo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