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Pour comprendre ce point, il faut savoir que nos croyances (en particulier nos croyances limitantes) ne vont jamais accepter leur statut de </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Lorsque</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Pourquoi beaucoup de personnes aiment débattre et aiment les débats (politiques, religieux, etc.)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Parce que le débat (lorsqu’il est mal cadré, comme 90% des débats que nous connaissons) n’est rien de plus qu’une confrontation entre 2 parties, qui se manifeste à travers une “guerre de croyances”</w:t>
      </w:r>
      <w:r w:rsidDel="00000000" w:rsidR="00000000" w:rsidRPr="00000000">
        <w:br w:type="page"/>
      </w: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Nos croyances limitantes vont nous amener souvent à confondre entre croyances et réalité.</w:t>
      </w:r>
    </w:p>
    <w:p w:rsidR="00000000" w:rsidDel="00000000" w:rsidP="00000000" w:rsidRDefault="00000000" w:rsidRPr="00000000" w14:paraId="00000009">
      <w:pPr>
        <w:spacing w:line="276" w:lineRule="auto"/>
        <w:rPr/>
      </w:pPr>
      <w:r w:rsidDel="00000000" w:rsidR="00000000" w:rsidRPr="00000000">
        <w:rPr>
          <w:rtl w:val="0"/>
        </w:rPr>
        <w:t xml:space="preserve">Et à rentrer dans des états de peur et de crispation, alors que le danger n’est même pas réel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Pour comprendre ce point, il faut savoir que nous avons du mal à reconnaître nos propres croyances.</w:t>
        <w:br w:type="textWrapping"/>
        <w:t xml:space="preserve">Car nos croyances (notamment nos croyances limitantes) n’acceptent jamais leur statut de croyances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Par exemple : une personne que la vie est tellement difficile et chère que pour pouvoir subvenir financièrement à ses besoins, il faut absolument un diplôme, postuler dans des secteurs porteurs et être recruté dans une grande entreprise.</w:t>
        <w:br w:type="textWrapping"/>
        <w:t xml:space="preserve">Cette personne a cette croyance car dans son expérience de vie, c’est ce qui lui a permis de sortir financièrement de la misère.</w:t>
        <w:br w:type="textWrapping"/>
        <w:t xml:space="preserve">Mais le problème, c’est lorsque cette personne va commencer à croire que cette règle doit s’appliquer nécessairement sur tout le monde.</w:t>
        <w:br w:type="textWrapping"/>
        <w:t xml:space="preserve">Elle va alors se mettre à distribuer des conseils à tout va et tenter de convaincre les jeunes, notamment de l’importance d’avoir de bonnes notes à l’école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C’est ce qui peut se passer lorsqu’une croyance limitante prend le dessus sur nous.</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Car les croyances limitantes sont à l’image des parasites : seules elles ne sont rien. Elles ont besoin de se greffer sur d’autres entitées pour se nourrir (à travers leurs pensées et leurs actes). Mais lorsqu’elles deviennent assez grosses, elles finissent par totalement submerger la vie de la personne.</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Résultat : on va commencer à s’attacher à nos propres croyances, et c’est ce qui va donner naissance à une identité narrative bien rodée, que l’on va nourrir progressivement, tous les jours !</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Se faisant, on va progressivement nous déconnecter de la réalité, sans même nous en rendre compte.</w:t>
      </w:r>
    </w:p>
    <w:p w:rsidR="00000000" w:rsidDel="00000000" w:rsidP="00000000" w:rsidRDefault="00000000" w:rsidRPr="00000000" w14:paraId="00000017">
      <w:pPr>
        <w:spacing w:line="276" w:lineRule="auto"/>
        <w:rPr/>
      </w:pPr>
      <w:r w:rsidDel="00000000" w:rsidR="00000000" w:rsidRPr="00000000">
        <w:rPr>
          <w:rtl w:val="0"/>
        </w:rPr>
        <w:t xml:space="preserve">(</w:t>
      </w:r>
      <w:r w:rsidDel="00000000" w:rsidR="00000000" w:rsidRPr="00000000">
        <w:rPr>
          <w:b w:val="1"/>
          <w:sz w:val="36"/>
          <w:szCs w:val="36"/>
          <w:rtl w:val="0"/>
        </w:rPr>
        <w:t xml:space="preserve">lien article</w:t>
      </w:r>
      <w:r w:rsidDel="00000000" w:rsidR="00000000" w:rsidRPr="00000000">
        <w:rPr>
          <w:rtl w:val="0"/>
        </w:rPr>
        <w:t xml:space="preserve">)</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Tout cela pour dire la chose suivante : lorsque nos croyances limitantes sont fermement encrées en nous, notre identité narrative ne devient alors plus que l’outil par lequel ces croyances vont continuer à vivre et se perpétuer à l’intérieur de nous.</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Par exemple : lorsque l’on pense que l’on est nul, on va vivre toutes les situations possibles et imaginable pour continuer de croire que nous sommes nul.</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Car lorsque l’on pense que l’on est nul, on s’auto-programme à “être nul”, sans que l’on s’en rende compte. C’est neurologique.</w:t>
        <w:br w:type="textWrapping"/>
        <w:br w:type="textWrapping"/>
        <w:t xml:space="preserve">Si bien que nous attirons à nous toutes les situations qui vont nous permettre de justifier le postulat de départ : </w:t>
      </w:r>
    </w:p>
    <w:p w:rsidR="00000000" w:rsidDel="00000000" w:rsidP="00000000" w:rsidRDefault="00000000" w:rsidRPr="00000000" w14:paraId="0000001E">
      <w:pPr>
        <w:spacing w:line="276" w:lineRule="auto"/>
        <w:rPr/>
      </w:pPr>
      <w:r w:rsidDel="00000000" w:rsidR="00000000" w:rsidRPr="00000000">
        <w:rPr>
          <w:rtl w:val="0"/>
        </w:rPr>
        <w:t xml:space="preserve">“tu vois ? je le savais ! je t’avais dis que j’étais nul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Et notre vie ne devient plus qu’une prophétie auto-réalisatrice, et auto-destructive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